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25 vom 4. August 2015</w:t>
      </w:r>
    </w:p>
    <w:p>
      <w:r>
        <w:t>GR Gerichte, 2015-08-04, DE</w:t>
      </w:r>
    </w:p>
    <w:p>
      <w:r>
        <w:rPr>
          <w:b/>
        </w:rPr>
        <w:t xml:space="preserve">Quelle: </w:t>
      </w:r>
      <w:r>
        <w:t>https://mcp.opencaselaw.ch/entscheid/gr_gerichte_ZK2 2015 25</w:t>
      </w:r>
    </w:p>
    <w:p>
      <w:r>
        <w:t>FR: GR_GERICHTE ZK2 2015 25 du 4 août 2015</w:t>
      </w:r>
    </w:p>
    <w:p>
      <w:r>
        <w:t>IT: GR_GERICHTE ZK2 2015 25 del 4 agosto 2015</w:t>
      </w:r>
    </w:p>
    <w:p>
      <w:pPr>
        <w:pStyle w:val="Heading2"/>
      </w:pPr>
      <w:r>
        <w:t>Regeste</w:t>
      </w:r>
    </w:p>
    <w:p>
      <w:r>
        <w:t>Rechtsverzögerung im Sinne von Art. 319 lit. c ZPO | Beschwerde Prozessrecht (319 ZPO, ohne die Endentscheide)</w:t>
      </w:r>
    </w:p>
    <w:p>
      <w:pPr>
        <w:pStyle w:val="Heading2"/>
      </w:pPr>
      <w:r>
        <w:t>Erwägungen</w:t>
      </w:r>
    </w:p>
    <w:p>
      <w:r>
        <w:rPr>
          <w:b/>
        </w:rPr>
        <w:t>E. 2</w:t>
      </w:r>
    </w:p>
    <w:p>
      <w:r>
        <w:t>Mit Schreiben vom 7. April 2015 ersuchte der Rechtsvertreter der C._____GmbH, Rechtsanwalt lic. iur. Andrea Mani, das Bezirksgericht Maloja dar- um, die Frist zur Einreichung der Stellungnahme um 20 Tage bzw. bis zum 27. April 2015 zu verlängern. Zur Begründung des Gesuchs wurde ausgeführt, dass derzeit Gespräche zwischen den Parteien stattfänden, um die ganze Angelegen- heit aussergerichtlich zu regeln. Das entsprechende Gesuch wurde bewilligt.</w:t>
      </w:r>
    </w:p>
    <w:p>
      <w:r>
        <w:rPr>
          <w:b/>
        </w:rPr>
        <w:t>E. 3</w:t>
      </w:r>
    </w:p>
    <w:p>
      <w:r>
        <w:t>Am 27. April 2015 wandte sich Rechtsanwalt lic. iur. Markus Wyttenbach an das Bezirksgericht Maloja und setzte dieses davon in Kenntnis, dass die C._____GmbH neu ihn mit der Wahrung ihrer Interessen betraut habe. In der Sa- che selbst ersuchte er das Gericht um zweitmalige Erstreckung der heute ablau- fenden Frist zur Einreichung der Stellungnahme um 20 Tage, d.h. bis zum 18. Mai 2015. Aufgrund der kurzfristigen Mandatierung sei es ihm nicht möglich gewesen, innert erstmals erstreckter Frist die Stellungnahme zu verfassen, weshalb er auf die Fristerstreckung dringend angewiesen sei. Auch diesem Gesuch wurde ent- sprochen.</w:t>
      </w:r>
    </w:p>
    <w:p>
      <w:r>
        <w:rPr>
          <w:b/>
        </w:rPr>
        <w:t>E. 4</w:t>
      </w:r>
    </w:p>
    <w:p>
      <w:r>
        <w:t>Nach Art. 106 Abs. 1 ZPO werden die Prozesskosten, bestehend aus den Gerichtskosten und der Parteientschädigung (Art. 95 Abs. 1 ZPO), der unterlie- genden Partei auferlegt. In einem neueren Entscheid hat das Bundesgericht fest- gehalten, dass im Falle einer Rechtsverzögerung durch ein kantonales Gericht die</w:t>
      </w:r>
    </w:p>
    <w:p>
      <w:r>
        <w:t>Seite 8 — 9 Gerichtskosten und die Parteientschädigung – Letztere unter dem Vorbehalt einer Befreiung nach kantonalem Recht im Sinne von Art. 116 ZPO, wovon der Kanton Graubünden indessen keinen Gebrauch gemacht hat – dem Kanton aufzuerlegen sind, weil sich diesfalls die Beschwerde nicht gegen die Gegenpartei richtet, son- dern gegen das Gericht selbst, welches sich weigert zu urteilen oder zögert, dies im Rahmen des laufenden Verfahrens zu tun (BGE 139 III 471 E. 3.3 S. 475 = Pra 2014 Nr. 28). Im Lichte dieser Rechtsprechung gehen die Kosten des Beschwer- deverfahrens, welche auf Fr. 2'000.-- festgesetzt werden (vgl. Art. 10 Abs. 1 der Verordnung über die Gerichtsgebühren in Zivilverfahren [VGZ; BR 320.210]), zu Lasten des Kantons Graubünden und sind aus der Gerichtskasse des Bezirksge- richts Maloja zu bezahlen. Gleiches gilt für die zugunsten der Beschwerdeführer auszusprechende Parteientschädigung. Mangels Einreichung einer Honorarnote wird diese nach richterlichem Ermessen festgesetzt. In Anbetracht der sich stel- lenden Sach- und Rechtsfragen sowie des für die Beschwerdeschrift angefallenen Aufwands erscheint eine Parteientschädigung von pauschal Fr. 1'000.-- (inkl. Spe- sen und MWSt) als angemessen.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